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О Правил</w:t>
      </w:r>
      <w:r w:rsidR="00F305E0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ах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надлежащей </w:t>
      </w:r>
      <w:r w:rsidR="000C02C6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дистрибьютор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ской практики Евразийского экономического союза</w:t>
      </w:r>
      <w:bookmarkStart w:id="0" w:name="_GoBack"/>
      <w:bookmarkEnd w:id="0"/>
      <w:r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B1EF9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02C6">
              <w:rPr>
                <w:sz w:val="25"/>
                <w:szCs w:val="25"/>
                <w:lang w:eastAsia="x-none"/>
              </w:rPr>
              <w:t>17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0C02C6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02C6">
              <w:rPr>
                <w:sz w:val="25"/>
                <w:szCs w:val="25"/>
                <w:lang w:eastAsia="x-none"/>
              </w:rPr>
              <w:t>17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45D90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a617c2a91f456a4cba66958917863462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4df6ff42d0ab479bfc029d69284c099b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2015-06-16T20:00:00+00:00</EecNpbDateOfStartingDiscussion>
    <EecNpbDocumentGuid xmlns="d70984cf-725d-4790-9b12-19604c34148c">e0c88c17-9343-4c1f-8071-db242f8682f5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2015-06-17T13:41:48+00:00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2015-06-17T13:41:48+00:00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надлежащей дистрибьюторской практики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0#.w|iisvvt\port_svc_spsadmin</DisplayName>
        <AccountId>51</AccountId>
        <AccountType/>
      </UserInfo>
    </EecNpbDocumentCreatedBy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7B79D278-83CF-405E-BDDD-1D4EDEB96B25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14</cp:revision>
  <cp:lastPrinted>2015-06-17T11:15:00Z</cp:lastPrinted>
  <dcterms:created xsi:type="dcterms:W3CDTF">2015-03-31T11:10:00Z</dcterms:created>
  <dcterms:modified xsi:type="dcterms:W3CDTF">2015-06-17T11:15:00Z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